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A8F1A" w14:textId="77777777" w:rsidR="00F7619A" w:rsidRPr="009807C4" w:rsidRDefault="00F7619A" w:rsidP="001C3510">
      <w:pPr>
        <w:numPr>
          <w:ilvl w:val="0"/>
          <w:numId w:val="2"/>
        </w:numPr>
        <w:jc w:val="both"/>
        <w:rPr>
          <w:b/>
        </w:rPr>
      </w:pPr>
      <w:bookmarkStart w:id="0" w:name="_Toc147739116"/>
      <w:r w:rsidRPr="009807C4">
        <w:rPr>
          <w:b/>
        </w:rPr>
        <w:t>SĄVOKOS IR SUTRUMPINIMAI</w:t>
      </w:r>
    </w:p>
    <w:p w14:paraId="0F20C4CC" w14:textId="77777777" w:rsidR="00F7619A" w:rsidRPr="009807C4" w:rsidRDefault="00F7619A" w:rsidP="001C3510">
      <w:pPr>
        <w:jc w:val="both"/>
        <w:rPr>
          <w:bCs/>
        </w:rPr>
      </w:pPr>
      <w:r w:rsidRPr="009807C4">
        <w:rPr>
          <w:b/>
        </w:rPr>
        <w:t xml:space="preserve">Perkančioji organizacija –  AB Lietuvos radijo ir televizijos centras </w:t>
      </w:r>
      <w:r w:rsidRPr="009807C4">
        <w:rPr>
          <w:bCs/>
        </w:rPr>
        <w:t>(toliau – Telecentras/ Perkančioji organizacija).</w:t>
      </w:r>
    </w:p>
    <w:p w14:paraId="0898EB3C" w14:textId="4459C7A7" w:rsidR="009807C4" w:rsidRPr="009807C4" w:rsidRDefault="009807C4" w:rsidP="001C3510">
      <w:pPr>
        <w:jc w:val="both"/>
        <w:rPr>
          <w:lang w:eastAsia="lt-LT"/>
        </w:rPr>
      </w:pPr>
      <w:r w:rsidRPr="009807C4">
        <w:rPr>
          <w:b/>
          <w:bCs/>
        </w:rPr>
        <w:t>Tiekėjas</w:t>
      </w:r>
      <w:r w:rsidRPr="009807C4">
        <w:t xml:space="preserve"> – ūkio subjektas – fizinis asmuo, privatusis ar viešasis juridinis asmuo, kita organizacija ir jų padalinys arba tokių asmenų grupė, įskaitant laikinas ūkio subjektų asociacijas, kuris rinkoje siūlo </w:t>
      </w:r>
      <w:r w:rsidRPr="009807C4">
        <w:rPr>
          <w:i/>
          <w:iCs/>
        </w:rPr>
        <w:t>paslaugas.</w:t>
      </w:r>
    </w:p>
    <w:p w14:paraId="64DAF1D9" w14:textId="02852C29" w:rsidR="009807C4" w:rsidRPr="009807C4" w:rsidRDefault="009807C4" w:rsidP="001C3510">
      <w:pPr>
        <w:jc w:val="both"/>
        <w:rPr>
          <w:lang w:eastAsia="lt-LT"/>
        </w:rPr>
      </w:pPr>
      <w:r w:rsidRPr="009807C4">
        <w:rPr>
          <w:b/>
          <w:bCs/>
        </w:rPr>
        <w:t>Sutartis</w:t>
      </w:r>
      <w:r w:rsidRPr="009807C4">
        <w:t xml:space="preserve"> – viešojo pirkimo–pardavimo sutartis, kurios dalykas yra </w:t>
      </w:r>
      <w:r w:rsidRPr="009807C4">
        <w:rPr>
          <w:i/>
          <w:iCs/>
        </w:rPr>
        <w:t>paslaugų</w:t>
      </w:r>
      <w:r w:rsidRPr="009807C4">
        <w:t xml:space="preserve"> pagal šią specifikaciją teikimas.</w:t>
      </w:r>
    </w:p>
    <w:p w14:paraId="221E2D91" w14:textId="77777777" w:rsidR="00A141A0" w:rsidRPr="009807C4" w:rsidRDefault="00A141A0" w:rsidP="001C3510">
      <w:pPr>
        <w:jc w:val="both"/>
        <w:rPr>
          <w:lang w:eastAsia="lt-LT"/>
        </w:rPr>
      </w:pPr>
      <w:r w:rsidRPr="009807C4">
        <w:rPr>
          <w:b/>
          <w:bCs/>
        </w:rPr>
        <w:t>IP adresai (IP Numbers)</w:t>
      </w:r>
      <w:r w:rsidRPr="009807C4">
        <w:t xml:space="preserve"> – Perkančiajai organizacijai priklausantis interneto protokolo 4 versijos (IPv4) adresų blokas (-ai), perduodamas (-i) tiekėjui valdyti pagal sutartį.</w:t>
      </w:r>
    </w:p>
    <w:p w14:paraId="2976925A" w14:textId="77777777" w:rsidR="00A141A0" w:rsidRPr="009807C4" w:rsidRDefault="00A141A0" w:rsidP="001C3510">
      <w:pPr>
        <w:jc w:val="both"/>
        <w:rPr>
          <w:lang w:eastAsia="lt-LT"/>
        </w:rPr>
      </w:pPr>
      <w:r w:rsidRPr="009807C4">
        <w:rPr>
          <w:b/>
          <w:bCs/>
        </w:rPr>
        <w:t>Techninės ir organizacinės priemonės</w:t>
      </w:r>
      <w:r w:rsidRPr="009807C4">
        <w:t xml:space="preserve"> – tiekėjo pasitelkiamos techninės ir organizacinės priemonės, naudojamos IP adresų portfelio valdymui, nuomininkų pritraukimui ir administravimui.</w:t>
      </w:r>
    </w:p>
    <w:p w14:paraId="1FF97FE9" w14:textId="77777777" w:rsidR="00F7619A" w:rsidRPr="009807C4" w:rsidRDefault="00F7619A" w:rsidP="001C3510">
      <w:pPr>
        <w:jc w:val="both"/>
        <w:rPr>
          <w:lang w:eastAsia="lt-LT"/>
        </w:rPr>
      </w:pPr>
      <w:r w:rsidRPr="009807C4">
        <w:rPr>
          <w:b/>
          <w:bCs/>
        </w:rPr>
        <w:t>Nuomininkas (IP Lessee)</w:t>
      </w:r>
      <w:r w:rsidRPr="009807C4">
        <w:t xml:space="preserve"> – juridinis asmuo, su kuriuo tiekėjas sudaro IP adresų subnuomos / naudojimo sutartį dėl Perkančiosios organizacijos IP adresų blokų.</w:t>
      </w:r>
    </w:p>
    <w:p w14:paraId="50B7EF82" w14:textId="77777777" w:rsidR="00937CA7" w:rsidRPr="009807C4" w:rsidRDefault="00937CA7" w:rsidP="001C3510">
      <w:pPr>
        <w:jc w:val="both"/>
        <w:rPr>
          <w:lang w:eastAsia="lt-LT"/>
        </w:rPr>
      </w:pPr>
      <w:r w:rsidRPr="009807C4">
        <w:rPr>
          <w:b/>
          <w:bCs/>
        </w:rPr>
        <w:t>Valdymo paslaugos</w:t>
      </w:r>
      <w:r w:rsidRPr="009807C4">
        <w:t xml:space="preserve"> – IP adresų portfelio valdymo, nuomininkų pritraukimo, pajamų užtikrinimo, piktnaudžiavimo prevencijos, administravimo, techninio parengimo, ataskaitų teikimo ir kitos su pirkimo objektu susijusios paslaugos.</w:t>
      </w:r>
    </w:p>
    <w:p w14:paraId="446185E4" w14:textId="77777777" w:rsidR="00F7619A" w:rsidRPr="009807C4" w:rsidRDefault="00F7619A" w:rsidP="001C3510">
      <w:pPr>
        <w:jc w:val="both"/>
        <w:rPr>
          <w:bCs/>
          <w:i/>
          <w:iCs/>
        </w:rPr>
      </w:pPr>
    </w:p>
    <w:p w14:paraId="6C5A4A20" w14:textId="77777777" w:rsidR="00F7619A" w:rsidRPr="009807C4" w:rsidRDefault="00F7619A" w:rsidP="001C3510">
      <w:pPr>
        <w:numPr>
          <w:ilvl w:val="0"/>
          <w:numId w:val="2"/>
        </w:numPr>
        <w:jc w:val="both"/>
        <w:rPr>
          <w:b/>
        </w:rPr>
      </w:pPr>
      <w:r w:rsidRPr="009807C4">
        <w:rPr>
          <w:b/>
        </w:rPr>
        <w:t>PIRKIMO OBJEKTAS</w:t>
      </w:r>
    </w:p>
    <w:p w14:paraId="1CC6979F" w14:textId="77777777" w:rsidR="00937CA7" w:rsidRPr="009807C4" w:rsidRDefault="00937CA7" w:rsidP="001C3510">
      <w:pPr>
        <w:jc w:val="both"/>
        <w:rPr>
          <w:lang w:eastAsia="lt-LT"/>
        </w:rPr>
      </w:pPr>
      <w:r w:rsidRPr="009807C4">
        <w:t>Pirkimo objektas – IPv4 adresų portfelio valdymo, nuomininkų pritraukimo, pajamų užtikrinimo, piktnaudžiavimo prevencijos ir administravimo paslaugos (toliau – Paslaugos).</w:t>
      </w:r>
    </w:p>
    <w:p w14:paraId="2CB0F950" w14:textId="77777777" w:rsidR="00937CA7" w:rsidRPr="009807C4" w:rsidRDefault="00937CA7" w:rsidP="001C3510">
      <w:pPr>
        <w:jc w:val="both"/>
        <w:rPr>
          <w:lang w:eastAsia="lt-LT"/>
        </w:rPr>
      </w:pPr>
      <w:r w:rsidRPr="009807C4">
        <w:t>Pirkimo objektas neskaidomas į dalis, nes perkamos tarpusavyje susijusios IPv4 adresų portfelio valdymo, nuomininkų pritraukimo, pajamų užtikrinimo, piktnaudžiavimo prevencijos ir administravimo paslaugos turi būti teikiamos kaip vientisas funkcionalus paslaugų kompleksas.</w:t>
      </w:r>
    </w:p>
    <w:p w14:paraId="784C1E2C" w14:textId="77777777" w:rsidR="00937CA7" w:rsidRPr="009807C4" w:rsidRDefault="00937CA7" w:rsidP="001C3510">
      <w:pPr>
        <w:jc w:val="both"/>
        <w:rPr>
          <w:lang w:eastAsia="lt-LT"/>
        </w:rPr>
      </w:pPr>
      <w:r w:rsidRPr="009807C4">
        <w:t>Paslaugos turi apimti visapusišką IPv4 adresų portfelio valdymą, įskaitant nuomininkų pritraukimą, kainodarą, pajamų užtikrinimą, sutarčių administravimą, techninį parengimą, piktnaudžiavimo prevenciją ir periodinę atskaitomybę.</w:t>
      </w:r>
    </w:p>
    <w:p w14:paraId="1B9C98B9" w14:textId="77777777" w:rsidR="00F7619A" w:rsidRPr="009807C4" w:rsidRDefault="00F7619A" w:rsidP="001C3510">
      <w:pPr>
        <w:jc w:val="both"/>
      </w:pPr>
    </w:p>
    <w:p w14:paraId="619BBE28" w14:textId="77777777" w:rsidR="00F7619A" w:rsidRPr="009807C4" w:rsidRDefault="00F7619A" w:rsidP="001C3510">
      <w:pPr>
        <w:numPr>
          <w:ilvl w:val="0"/>
          <w:numId w:val="2"/>
        </w:numPr>
        <w:jc w:val="both"/>
        <w:rPr>
          <w:b/>
        </w:rPr>
      </w:pPr>
      <w:r w:rsidRPr="009807C4">
        <w:rPr>
          <w:b/>
        </w:rPr>
        <w:t xml:space="preserve">PIRKIMO OBJEKTO APRAŠYMAS </w:t>
      </w:r>
    </w:p>
    <w:p w14:paraId="4E3242F0" w14:textId="77777777" w:rsidR="00937CA7" w:rsidRPr="009807C4" w:rsidRDefault="00937CA7" w:rsidP="001C3510">
      <w:pPr>
        <w:jc w:val="both"/>
        <w:rPr>
          <w:lang w:eastAsia="lt-LT"/>
        </w:rPr>
      </w:pPr>
      <w:bookmarkStart w:id="1" w:name="_Hlk211497331"/>
      <w:r w:rsidRPr="009807C4">
        <w:t>Pirkimo objekto aprašymas – perkamos paslaugos, kurių tikslas yra užtikrinti Perkančiosios organizacijos valdomo IPv4 adresų portfelio valdymą, nuomininkų pritraukimą, pajamų iš IP adresų nuomos užtikrinimą, administravimą, techninį aptarnavimą, piktnaudžiavimo prevenciją, teisėtą ir saugų IP adresų naudojimą bei atskaitomybę Perkančiajai organizacijai.</w:t>
      </w:r>
    </w:p>
    <w:p w14:paraId="33138FCD" w14:textId="77777777" w:rsidR="00A141A0" w:rsidRPr="009807C4" w:rsidRDefault="00A141A0" w:rsidP="001C3510">
      <w:pPr>
        <w:jc w:val="both"/>
        <w:rPr>
          <w:lang w:eastAsia="lt-LT"/>
        </w:rPr>
      </w:pPr>
      <w:r w:rsidRPr="009807C4">
        <w:t>Paslaugų apimtis: IPv4 adresų blokų pateikimas nuomai naudojantis tiekėjo pasitelkiamomis techninėmis ir organizacinėmis priemonėmis, nuomininkų pritraukimas, kainodaros nustatymas pagal rinkos situaciją, sutarčių su nuomininkais sudarymas ir administravimas, mėnesinių ataskaitų teikimas, ketvirtinių veiklos peržiūrų organizavimas, techninis IP adresų parengimas naudojimui, pasikartojantys atlaisvintų IP adresų skenavimai, įtrauktų į blokavimo sąrašus IP adresų šalinimo paslaugos ir su tuo susijusių incidentų valdymas.</w:t>
      </w:r>
    </w:p>
    <w:p w14:paraId="5AC83CB0" w14:textId="77777777" w:rsidR="00A141A0" w:rsidRPr="009807C4" w:rsidRDefault="00A141A0" w:rsidP="001C3510">
      <w:pPr>
        <w:jc w:val="both"/>
        <w:rPr>
          <w:lang w:eastAsia="lt-LT"/>
        </w:rPr>
      </w:pPr>
      <w:r w:rsidRPr="009807C4">
        <w:lastRenderedPageBreak/>
        <w:t>Paslaugų teikimo vieta – nuotoliniu būdu, naudojantis tiekėjo pasitelkiamomis techninėmis ir organizacinėmis priemonėmis bei elektroninėmis ryšio priemonėmis. Ataskaitos ir kita informacija teikiama elektroniniu būdu.</w:t>
      </w:r>
    </w:p>
    <w:p w14:paraId="0BD1DB93" w14:textId="77777777" w:rsidR="009807C4" w:rsidRDefault="009807C4" w:rsidP="001C3510">
      <w:pPr>
        <w:jc w:val="both"/>
        <w:rPr>
          <w:lang w:eastAsia="lt-LT"/>
        </w:rPr>
      </w:pPr>
      <w:r>
        <w:rPr>
          <w:b/>
          <w:bCs/>
        </w:rPr>
        <w:t>Tiekėjas turi turėti teisę ir galimybę teisėtu būdu organizuoti IP adresų nuomą, sudaryti ar administruoti santykius su nuomininkais bei užtikrinti, kad IP adresai būtų naudojami tik teisėtais tikslais ir laikantis taikomų registrų, sankcijų bei kitų teisinių reikalavimų.</w:t>
      </w:r>
    </w:p>
    <w:p w14:paraId="0D26CB36" w14:textId="77777777" w:rsidR="00F7619A" w:rsidRPr="009807C4" w:rsidRDefault="00F7619A" w:rsidP="001C3510">
      <w:pPr>
        <w:jc w:val="both"/>
      </w:pPr>
    </w:p>
    <w:p w14:paraId="244E81DA" w14:textId="77777777" w:rsidR="00F7619A" w:rsidRPr="009807C4" w:rsidRDefault="00F7619A" w:rsidP="001C3510">
      <w:pPr>
        <w:jc w:val="both"/>
      </w:pPr>
    </w:p>
    <w:bookmarkEnd w:id="1"/>
    <w:p w14:paraId="78593BC1" w14:textId="49FBDC2A" w:rsidR="009807C4" w:rsidRPr="009807C4" w:rsidRDefault="009807C4" w:rsidP="001C3510">
      <w:pPr>
        <w:pStyle w:val="ListParagraph"/>
        <w:numPr>
          <w:ilvl w:val="0"/>
          <w:numId w:val="2"/>
        </w:numPr>
        <w:jc w:val="both"/>
        <w:rPr>
          <w:lang w:eastAsia="lt-LT"/>
        </w:rPr>
      </w:pPr>
      <w:r w:rsidRPr="009807C4">
        <w:rPr>
          <w:b/>
          <w:bCs/>
        </w:rPr>
        <w:t xml:space="preserve">TECHNINIŲ REIKALAVIMŲ, KURIUOS TURI ATITIKTI PERKAMOS </w:t>
      </w:r>
      <w:r w:rsidRPr="009807C4">
        <w:rPr>
          <w:b/>
          <w:bCs/>
          <w:i/>
          <w:iCs/>
        </w:rPr>
        <w:t>PASLAUGOS</w:t>
      </w:r>
      <w:r w:rsidRPr="009807C4">
        <w:rPr>
          <w:b/>
          <w:bCs/>
        </w:rPr>
        <w:t xml:space="preserve"> APRAŠYMAS</w:t>
      </w:r>
    </w:p>
    <w:p w14:paraId="7F0EA545" w14:textId="77777777" w:rsidR="00F7619A" w:rsidRPr="009807C4" w:rsidRDefault="00F7619A" w:rsidP="001C3510">
      <w:pPr>
        <w:jc w:val="both"/>
        <w:rPr>
          <w:lang w:eastAsia="lt-LT"/>
        </w:rPr>
      </w:pPr>
      <w:r w:rsidRPr="009807C4">
        <w:t>Perkamos Paslaugos turi atitikti šiuos minimalius techninius reikalavimus:</w:t>
      </w:r>
    </w:p>
    <w:p w14:paraId="37687BF8" w14:textId="77777777" w:rsidR="00A141A0" w:rsidRPr="009807C4" w:rsidRDefault="00A141A0" w:rsidP="001C3510">
      <w:pPr>
        <w:pStyle w:val="ListParagraph"/>
        <w:numPr>
          <w:ilvl w:val="0"/>
          <w:numId w:val="3"/>
        </w:numPr>
        <w:jc w:val="both"/>
        <w:rPr>
          <w:lang w:eastAsia="lt-LT"/>
        </w:rPr>
      </w:pPr>
      <w:r w:rsidRPr="009807C4">
        <w:t>Tiekėjas turi užtikrinti Perkančiosios organizacijos IPv4 adresų blokų pateikimą nuomai ir administravimą, naudojantis tiekėjo pasitelkiamomis techninėmis ir organizacinėmis priemonėmis.</w:t>
      </w:r>
    </w:p>
    <w:p w14:paraId="0F44A552" w14:textId="77777777" w:rsidR="00937CA7" w:rsidRPr="009807C4" w:rsidRDefault="00937CA7" w:rsidP="001C3510">
      <w:pPr>
        <w:pStyle w:val="ListParagraph"/>
        <w:numPr>
          <w:ilvl w:val="0"/>
          <w:numId w:val="3"/>
        </w:numPr>
        <w:jc w:val="both"/>
        <w:rPr>
          <w:lang w:eastAsia="lt-LT"/>
        </w:rPr>
      </w:pPr>
      <w:r w:rsidRPr="009807C4">
        <w:t>Tiekėjas turi vykdyti nuomininkų pritraukimo veiklą, nustatyti IP adresų kainodarą pagal tuo metu esančią rinkos situaciją ir taikyti komerciškai pagrįstas priemones pajamoms užtikrinti.</w:t>
      </w:r>
    </w:p>
    <w:p w14:paraId="35A99393" w14:textId="77777777" w:rsidR="009807C4" w:rsidRPr="009807C4" w:rsidRDefault="009807C4" w:rsidP="001C3510">
      <w:pPr>
        <w:pStyle w:val="ListParagraph"/>
        <w:numPr>
          <w:ilvl w:val="0"/>
          <w:numId w:val="3"/>
        </w:numPr>
        <w:jc w:val="both"/>
        <w:rPr>
          <w:lang w:eastAsia="lt-LT"/>
        </w:rPr>
      </w:pPr>
      <w:r w:rsidRPr="009807C4">
        <w:t>Tiekėjas turi turėti teisines ir technines priemones sudaryti bei administruoti sutartis su IP adresų nuomininkais Perkančiosios organizacijos naudai. TURĖTŲ PARODYTI KOKIAS TURI PRIEMONES</w:t>
      </w:r>
    </w:p>
    <w:p w14:paraId="34C1D2F8" w14:textId="77777777" w:rsidR="00A141A0" w:rsidRPr="009807C4" w:rsidRDefault="00A141A0" w:rsidP="001C3510">
      <w:pPr>
        <w:pStyle w:val="ListParagraph"/>
        <w:numPr>
          <w:ilvl w:val="0"/>
          <w:numId w:val="3"/>
        </w:numPr>
        <w:jc w:val="both"/>
      </w:pPr>
      <w:r w:rsidRPr="009807C4">
        <w:t>Tiekėjas turi užtikrinti mėnesinių ataskaitų pateikimą, kuriose būtų nurodoma bent: išnuomotų IP adresų skaičius laikotarpio pabaigoje, vidutinė mėnesio išnuomotų IP adresų dalis, vidutinė nuomos kaina, nuomininkų skaičius, pajamos per mėnesį, sukauptos pajamos ir detalizacija pagal potinklius.</w:t>
      </w:r>
    </w:p>
    <w:p w14:paraId="28DCF46B" w14:textId="77777777" w:rsidR="00937CA7" w:rsidRPr="009807C4" w:rsidRDefault="00937CA7" w:rsidP="001C3510">
      <w:pPr>
        <w:pStyle w:val="ListParagraph"/>
        <w:numPr>
          <w:ilvl w:val="0"/>
          <w:numId w:val="3"/>
        </w:numPr>
        <w:jc w:val="both"/>
      </w:pPr>
      <w:r w:rsidRPr="009807C4">
        <w:t>Tiekėjas turi ne rečiau kaip kartą per ketvirtį organizuoti veiklos peržiūros susitikimus dėl pajamų, portfelio veiklos rodiklių ir kitų paslaugų rezultatų.</w:t>
      </w:r>
    </w:p>
    <w:p w14:paraId="4AE16D51" w14:textId="77777777" w:rsidR="00F7619A" w:rsidRPr="009807C4" w:rsidRDefault="00F7619A" w:rsidP="001C3510">
      <w:pPr>
        <w:pStyle w:val="ListParagraph"/>
        <w:numPr>
          <w:ilvl w:val="0"/>
          <w:numId w:val="3"/>
        </w:numPr>
        <w:jc w:val="both"/>
      </w:pPr>
      <w:r w:rsidRPr="009807C4">
        <w:t>Tiekėjas turi atlikti techninį IP adresų parengimą naudojimui, įskaitant RPKI delegavimą ar lygiavertes technines priemones, jei jos būtinos paslaugų teikimui.</w:t>
      </w:r>
    </w:p>
    <w:p w14:paraId="452BA8C6" w14:textId="77777777" w:rsidR="00F7619A" w:rsidRPr="009807C4" w:rsidRDefault="00F7619A" w:rsidP="001C3510">
      <w:pPr>
        <w:pStyle w:val="ListParagraph"/>
        <w:numPr>
          <w:ilvl w:val="0"/>
          <w:numId w:val="3"/>
        </w:numPr>
        <w:jc w:val="both"/>
      </w:pPr>
      <w:r w:rsidRPr="009807C4">
        <w:t>Tiekėjas turi teikti piktnaudžiavimo prevencijos paslaugas, įskaitant periodinius atlaisvintų IP adresų skenavimus, blokavimo sąrašų stebėseną ir šalinimo veiksmus bei incidentų ataskaitų teikimą.</w:t>
      </w:r>
    </w:p>
    <w:p w14:paraId="4877AB85" w14:textId="77777777" w:rsidR="009807C4" w:rsidRPr="009807C4" w:rsidRDefault="009807C4" w:rsidP="001C3510">
      <w:pPr>
        <w:pStyle w:val="ListParagraph"/>
        <w:numPr>
          <w:ilvl w:val="0"/>
          <w:numId w:val="3"/>
        </w:numPr>
        <w:jc w:val="both"/>
      </w:pPr>
      <w:r w:rsidRPr="009807C4">
        <w:t>Tiekėjas turi užtikrinti, kad nuomininkai nenaudotų IP adresų neteisėtais, apgaulingais, kenkėjiškais ar sankcijų reikalavimus pažeidžiančiais tikslais.</w:t>
      </w:r>
    </w:p>
    <w:p w14:paraId="6AD9A4A0" w14:textId="77777777" w:rsidR="009807C4" w:rsidRPr="009807C4" w:rsidRDefault="009807C4" w:rsidP="001C3510">
      <w:pPr>
        <w:pStyle w:val="ListParagraph"/>
        <w:numPr>
          <w:ilvl w:val="0"/>
          <w:numId w:val="3"/>
        </w:numPr>
        <w:jc w:val="both"/>
      </w:pPr>
      <w:r w:rsidRPr="009807C4">
        <w:t>Tiekėjas privalo taikyti nuomininkų atrankos ir kontrolės priemones, užkertančias kelią IP adresų naudojimui subjektų ar teritorijų, kurioms taikomos tarptautinės ar nacionalinės sankcijos, naudai.</w:t>
      </w:r>
    </w:p>
    <w:p w14:paraId="6D5BED44" w14:textId="77777777" w:rsidR="00937CA7" w:rsidRPr="009807C4" w:rsidRDefault="00937CA7" w:rsidP="001C3510">
      <w:pPr>
        <w:pStyle w:val="ListParagraph"/>
        <w:numPr>
          <w:ilvl w:val="0"/>
          <w:numId w:val="3"/>
        </w:numPr>
        <w:jc w:val="both"/>
      </w:pPr>
      <w:r w:rsidRPr="009807C4">
        <w:t>Tiekėjas privalo taikyti nuomininkų atrankos, patikros ir kontrolės priemones, užtikrinančias, kad Perkančiosios organizacijos IP adresai nebūtų suteikiami ar naudojami subjektų, asmenų, organizacijų ar teritorijų, kuriems taikomos Europos Sąjungos, Lietuvos Respublikos ir, kai tai taikoma pagal tiekėjo veiklos modelį, kitų taikytinų jurisdikcijų tarptautinės sankcijos ar eksporto kontrolės ribojimai, naudai.</w:t>
      </w:r>
    </w:p>
    <w:p w14:paraId="75700BF5" w14:textId="77777777" w:rsidR="00937CA7" w:rsidRPr="009807C4" w:rsidRDefault="00937CA7" w:rsidP="001C3510">
      <w:pPr>
        <w:pStyle w:val="ListParagraph"/>
        <w:numPr>
          <w:ilvl w:val="0"/>
          <w:numId w:val="3"/>
        </w:numPr>
        <w:jc w:val="both"/>
      </w:pPr>
      <w:r w:rsidRPr="009807C4">
        <w:t>Tiekėjas privalo taikyti technines ir organizacines priemones, skirtas Perkančiosios organizacijos IP adresų naudojimo stebėsenai, piktnaudžiavimo prevencijai, incidentų identifikavimui ir reagavimui į abuse pranešimus. Nustačius neteisėtą, kenkėjišką, apgaulingą ar kitais būdais neleistiną IP adresų naudojimą, tiekėjas privalo nedelsdamas imtis veiksmų pažeidimui nutraukti ir jo pasekmėms mažinti.</w:t>
      </w:r>
    </w:p>
    <w:p w14:paraId="581802EB" w14:textId="77777777" w:rsidR="00937CA7" w:rsidRPr="009807C4" w:rsidRDefault="00937CA7" w:rsidP="001C3510">
      <w:pPr>
        <w:pStyle w:val="ListParagraph"/>
        <w:numPr>
          <w:ilvl w:val="0"/>
          <w:numId w:val="3"/>
        </w:numPr>
        <w:jc w:val="both"/>
      </w:pPr>
      <w:r w:rsidRPr="009807C4">
        <w:lastRenderedPageBreak/>
        <w:t>Jeigu teikdamas Paslaugas tiekėjas tvarko asmens duomenis, jis privalo laikytis Europos Parlamento ir Tarybos reglamento (ES) 2016/679 (Bendrojo duomenų apsaugos reglamento) ir kitų taikomų asmens duomenų apsaugos teisės aktų reikalavimų, taikyti tinkamas technines ir organizacines priemones duomenų saugumui užtikrinti bei tvarkyti duomenis tik tiek, kiek tai būtina Paslaugoms teikti.</w:t>
      </w:r>
    </w:p>
    <w:p w14:paraId="527593CA" w14:textId="77777777" w:rsidR="00A141A0" w:rsidRPr="009807C4" w:rsidRDefault="00A141A0" w:rsidP="001C3510">
      <w:pPr>
        <w:pStyle w:val="ListParagraph"/>
        <w:numPr>
          <w:ilvl w:val="0"/>
          <w:numId w:val="3"/>
        </w:numPr>
        <w:jc w:val="both"/>
      </w:pPr>
      <w:r w:rsidRPr="009807C4">
        <w:t>Tiekėjas privalo vykdyti Paslaugas laikydamasis taikytinų regioninių interneto registrų, įskaitant RIPE NCC, taisyklių, politikų ir procedūrų, susijusių su IPv4 adresų paskirstymu, nuoma, naudojimu, registravimu ir delegavimu.</w:t>
      </w:r>
    </w:p>
    <w:p w14:paraId="7619AD02" w14:textId="77777777" w:rsidR="00F7619A" w:rsidRPr="009807C4" w:rsidRDefault="00F7619A" w:rsidP="001C3510">
      <w:pPr>
        <w:pStyle w:val="ListParagraph"/>
        <w:numPr>
          <w:ilvl w:val="0"/>
          <w:numId w:val="3"/>
        </w:numPr>
        <w:jc w:val="both"/>
      </w:pPr>
      <w:r w:rsidRPr="009807C4">
        <w:t>Tiekėjas turi užtikrinti, kad atsiskaitymai ir ataskaitos Perkančiajai organizacijai būtų pateikiami reguliariai, aiškiai ir objektyviai patikrinama forma.</w:t>
      </w:r>
    </w:p>
    <w:p w14:paraId="172FA39F" w14:textId="77777777" w:rsidR="00F7619A" w:rsidRPr="009807C4" w:rsidRDefault="00F7619A" w:rsidP="001C3510">
      <w:pPr>
        <w:jc w:val="both"/>
      </w:pPr>
    </w:p>
    <w:p w14:paraId="19A4DAF0" w14:textId="77777777" w:rsidR="00F7619A" w:rsidRPr="009807C4" w:rsidRDefault="00F7619A" w:rsidP="001C3510">
      <w:pPr>
        <w:numPr>
          <w:ilvl w:val="0"/>
          <w:numId w:val="2"/>
        </w:numPr>
        <w:jc w:val="both"/>
        <w:rPr>
          <w:b/>
          <w:bCs/>
        </w:rPr>
      </w:pPr>
      <w:r w:rsidRPr="009807C4">
        <w:rPr>
          <w:b/>
        </w:rPr>
        <w:t xml:space="preserve">PIRKIMO OBJEKTO APYMTYS IR TERMINAI </w:t>
      </w:r>
    </w:p>
    <w:p w14:paraId="661F54CF" w14:textId="77777777" w:rsidR="00F7619A" w:rsidRPr="009807C4" w:rsidRDefault="00F7619A" w:rsidP="001C3510">
      <w:pPr>
        <w:jc w:val="both"/>
        <w:rPr>
          <w:lang w:eastAsia="lt-LT"/>
        </w:rPr>
      </w:pPr>
      <w:r w:rsidRPr="009807C4">
        <w:t>Paslaugos teikiamos 12 mėnesių laikotarpiui nuo sutarties įsigaliojimo dienos, numatant galimybę sutartį pratęsti sutartyje nustatytomis sąlygomis.</w:t>
      </w:r>
    </w:p>
    <w:p w14:paraId="6FDDD878" w14:textId="77777777" w:rsidR="00F7619A" w:rsidRPr="009807C4" w:rsidRDefault="00F7619A" w:rsidP="001C3510">
      <w:pPr>
        <w:pStyle w:val="ListParagraph"/>
        <w:numPr>
          <w:ilvl w:val="0"/>
          <w:numId w:val="4"/>
        </w:numPr>
        <w:jc w:val="both"/>
        <w:rPr>
          <w:lang w:eastAsia="lt-LT"/>
        </w:rPr>
      </w:pPr>
      <w:r w:rsidRPr="009807C4">
        <w:t>Paslaugų apimtis apima visą Perkančiosios organizacijos tiekėjui perduotą IPv4 adresų portfelį.</w:t>
      </w:r>
    </w:p>
    <w:p w14:paraId="2CC653BA" w14:textId="77777777" w:rsidR="00F7619A" w:rsidRPr="009807C4" w:rsidRDefault="00F7619A" w:rsidP="001C3510">
      <w:pPr>
        <w:pStyle w:val="ListParagraph"/>
        <w:numPr>
          <w:ilvl w:val="0"/>
          <w:numId w:val="4"/>
        </w:numPr>
        <w:jc w:val="both"/>
      </w:pPr>
      <w:r w:rsidRPr="009807C4">
        <w:t>Mėnesinės ataskaitos turi būti pateikiamos ne vėliau kaip per 5 kalendorines dienas pasibaigus ataskaitiniam mėnesiui.</w:t>
      </w:r>
    </w:p>
    <w:p w14:paraId="4F86E235" w14:textId="77777777" w:rsidR="00F7619A" w:rsidRPr="009807C4" w:rsidRDefault="00F7619A" w:rsidP="001C3510">
      <w:pPr>
        <w:pStyle w:val="ListParagraph"/>
        <w:numPr>
          <w:ilvl w:val="0"/>
          <w:numId w:val="4"/>
        </w:numPr>
        <w:jc w:val="both"/>
      </w:pPr>
      <w:r w:rsidRPr="009807C4">
        <w:t>Ketvirtinės veiklos peržiūros turi būti organizuojamos ne rečiau kaip 1 kartą per ketvirtį.</w:t>
      </w:r>
    </w:p>
    <w:p w14:paraId="04A0EAB7" w14:textId="77777777" w:rsidR="00F7619A" w:rsidRPr="009807C4" w:rsidRDefault="00F7619A" w:rsidP="001C3510">
      <w:pPr>
        <w:pStyle w:val="ListParagraph"/>
        <w:numPr>
          <w:ilvl w:val="0"/>
          <w:numId w:val="4"/>
        </w:numPr>
        <w:jc w:val="both"/>
      </w:pPr>
      <w:r w:rsidRPr="009807C4">
        <w:t>Jeigu nustatomas neteisėtas ar sutarties reikalavimų neatitinkantis IP adresų naudojimas, tiekėjas turi nedelsdamas imtis veiksmų pažeidimui nutraukti, o kai tai susiję su sankcijų ar draudžiamų veiklų pažeidimu – per protingą terminą, bet ne vėliau kaip per 5 darbo dienas, nutraukti atitinkamus santykius su nuomininku.</w:t>
      </w:r>
    </w:p>
    <w:p w14:paraId="085AAD5C" w14:textId="77777777" w:rsidR="00F7619A" w:rsidRPr="009807C4" w:rsidRDefault="00F7619A" w:rsidP="001C3510">
      <w:pPr>
        <w:jc w:val="both"/>
      </w:pPr>
    </w:p>
    <w:p w14:paraId="03422DC4" w14:textId="77777777" w:rsidR="00D95250" w:rsidRPr="009807C4" w:rsidRDefault="00D95250" w:rsidP="001C3510">
      <w:pPr>
        <w:jc w:val="both"/>
        <w:rPr>
          <w:lang w:eastAsia="lt-LT"/>
        </w:rPr>
      </w:pPr>
      <w:r w:rsidRPr="009807C4">
        <w:rPr>
          <w:b/>
          <w:bCs/>
        </w:rPr>
        <w:t>Incidentų valdymo terminai:</w:t>
      </w:r>
    </w:p>
    <w:p w14:paraId="6916D7D2" w14:textId="77777777" w:rsidR="00D95250" w:rsidRPr="009807C4" w:rsidRDefault="00D95250" w:rsidP="001C3510">
      <w:pPr>
        <w:pStyle w:val="ListParagraph"/>
        <w:numPr>
          <w:ilvl w:val="0"/>
          <w:numId w:val="16"/>
        </w:numPr>
        <w:jc w:val="both"/>
        <w:rPr>
          <w:lang w:eastAsia="lt-LT"/>
        </w:rPr>
      </w:pPr>
      <w:r w:rsidRPr="009807C4">
        <w:t>Blacklist sąrašuose esančių IP adresų pašalinimo veiksmai turi būti pradėti nedelsiant, o pašalinimas ar pagrįsti korekciniai veiksmai turi būti atlikti ne vėliau kaip per 3 darbo dienas nuo nustatymo ar pranešimo gavimo.</w:t>
      </w:r>
    </w:p>
    <w:p w14:paraId="2C62784B" w14:textId="77777777" w:rsidR="00D95250" w:rsidRPr="009807C4" w:rsidRDefault="00D95250" w:rsidP="001C3510">
      <w:pPr>
        <w:pStyle w:val="ListParagraph"/>
        <w:numPr>
          <w:ilvl w:val="0"/>
          <w:numId w:val="16"/>
        </w:numPr>
        <w:jc w:val="both"/>
      </w:pPr>
      <w:r w:rsidRPr="009807C4">
        <w:t>Į incidentą ar abuse pranešimą tiekėjas privalo sureaguoti ne vėliau kaip per 24 valandas nuo jo nustatymo ar gavimo.</w:t>
      </w:r>
    </w:p>
    <w:p w14:paraId="58ADA964" w14:textId="77777777" w:rsidR="00D95250" w:rsidRPr="009807C4" w:rsidRDefault="00D95250" w:rsidP="001C3510">
      <w:pPr>
        <w:pStyle w:val="ListParagraph"/>
        <w:numPr>
          <w:ilvl w:val="0"/>
          <w:numId w:val="16"/>
        </w:numPr>
        <w:jc w:val="both"/>
      </w:pPr>
      <w:r w:rsidRPr="009807C4">
        <w:t>Incidentas turi būti suvaldytas ir pagrindiniai korekciniai veiksmai atlikti ne vėliau kaip per 3 darbo dienas, išskyrus atvejus, kai dėl incidento pobūdžio objektyviai reikalingas ilgesnis terminas, apie tai iš anksto informuojant Perkančiąją organizaciją.</w:t>
      </w:r>
    </w:p>
    <w:p w14:paraId="19483A7F" w14:textId="77777777" w:rsidR="00D95250" w:rsidRPr="009807C4" w:rsidRDefault="00D95250" w:rsidP="001C3510">
      <w:pPr>
        <w:pStyle w:val="ListParagraph"/>
        <w:numPr>
          <w:ilvl w:val="0"/>
          <w:numId w:val="16"/>
        </w:numPr>
        <w:jc w:val="both"/>
      </w:pPr>
      <w:r w:rsidRPr="009807C4">
        <w:t>Apie incidentą, galintį turėti įtakos IP adresų teisėtam naudojimui, reputacijai, saugumui ar atitikčiai, tiekėjas privalo informuoti Perkančiąją organizaciją ne vėliau kaip per 24 valandas nuo jo nustatymo.</w:t>
      </w:r>
    </w:p>
    <w:p w14:paraId="02F8D376" w14:textId="77777777" w:rsidR="00D95250" w:rsidRPr="009807C4" w:rsidRDefault="00D95250" w:rsidP="001C3510">
      <w:pPr>
        <w:pStyle w:val="ListParagraph"/>
        <w:numPr>
          <w:ilvl w:val="0"/>
          <w:numId w:val="16"/>
        </w:numPr>
        <w:jc w:val="both"/>
      </w:pPr>
      <w:r w:rsidRPr="009807C4">
        <w:t>Detalus pirminis incidento aprašymas, nurodant incidento pobūdį, paveiktus IP adresus, taikytas ar planuojamas priemones ir preliminarų poveikio vertinimą, turi būti pateiktas ne vėliau kaip per 72 valandas nuo incidento nustatymo.</w:t>
      </w:r>
    </w:p>
    <w:p w14:paraId="1ED5079F" w14:textId="77777777" w:rsidR="00D95250" w:rsidRPr="009807C4" w:rsidRDefault="00D95250" w:rsidP="001C3510">
      <w:pPr>
        <w:pStyle w:val="ListParagraph"/>
        <w:numPr>
          <w:ilvl w:val="0"/>
          <w:numId w:val="16"/>
        </w:numPr>
        <w:jc w:val="both"/>
      </w:pPr>
      <w:r w:rsidRPr="009807C4">
        <w:t>Galutinė incidento analizės ataskaita, nurodanti incidento priežastis, eigą, taikytas priemones, poveikį ir prevencinius veiksmus ateičiai, turi būti pateikta ne vėliau kaip per 30 kalendorinių dienų nuo incidento uždarymo.</w:t>
      </w:r>
    </w:p>
    <w:p w14:paraId="38AFEF0C" w14:textId="77777777" w:rsidR="00F7619A" w:rsidRPr="009807C4" w:rsidRDefault="00F7619A" w:rsidP="001C3510">
      <w:pPr>
        <w:jc w:val="both"/>
        <w:rPr>
          <w:lang w:eastAsia="lt-LT"/>
        </w:rPr>
      </w:pPr>
      <w:r w:rsidRPr="009807C4">
        <w:t>Atskiri terminai, paslaugų lygiai, finansiniai rodikliai ir pratęsimo galimybės detalizuojami sutartyje.</w:t>
      </w:r>
    </w:p>
    <w:p w14:paraId="76D921F2" w14:textId="77777777" w:rsidR="00F7619A" w:rsidRPr="009807C4" w:rsidRDefault="00F7619A" w:rsidP="001C3510">
      <w:pPr>
        <w:jc w:val="both"/>
      </w:pPr>
    </w:p>
    <w:p w14:paraId="02F84577" w14:textId="77777777" w:rsidR="00F7619A" w:rsidRPr="009807C4" w:rsidRDefault="00F7619A" w:rsidP="001C3510">
      <w:pPr>
        <w:jc w:val="both"/>
      </w:pPr>
    </w:p>
    <w:p w14:paraId="098DA626" w14:textId="77777777" w:rsidR="00F7619A" w:rsidRPr="009807C4" w:rsidRDefault="00F7619A" w:rsidP="001C3510">
      <w:pPr>
        <w:numPr>
          <w:ilvl w:val="0"/>
          <w:numId w:val="2"/>
        </w:numPr>
        <w:jc w:val="both"/>
        <w:rPr>
          <w:b/>
          <w:bCs/>
        </w:rPr>
      </w:pPr>
      <w:r w:rsidRPr="009807C4">
        <w:rPr>
          <w:b/>
        </w:rPr>
        <w:t>KOKYBĖS UŽTIKRINIMAS</w:t>
      </w:r>
    </w:p>
    <w:p w14:paraId="1E62F2F2" w14:textId="77777777" w:rsidR="00937CA7" w:rsidRPr="009807C4" w:rsidRDefault="00937CA7" w:rsidP="001C3510">
      <w:pPr>
        <w:jc w:val="both"/>
        <w:rPr>
          <w:lang w:eastAsia="lt-LT"/>
        </w:rPr>
      </w:pPr>
      <w:r w:rsidRPr="009807C4">
        <w:t>Kokybės užtikrinimas vertinamas pagal objektyvius veiklos rodiklius ir ataskaitinius duomenis. Tiekėjas turi užtikrinti nepertraukiamą paslaugų teikimą, savalaikį ataskaitų teikimą, rezultatyvų IPv4 adresų portfelio valdymą, nuomininkų pritraukimą, pajamų užtikrinimą, piktnaudžiavimo prevenciją ir reagavimą į nustatytus pažeidimus.</w:t>
      </w:r>
    </w:p>
    <w:p w14:paraId="712A55A0" w14:textId="77777777" w:rsidR="009807C4" w:rsidRPr="009807C4" w:rsidRDefault="009807C4" w:rsidP="001C3510">
      <w:pPr>
        <w:jc w:val="both"/>
        <w:rPr>
          <w:lang w:eastAsia="lt-LT"/>
        </w:rPr>
      </w:pPr>
      <w:r w:rsidRPr="009807C4">
        <w:t>Kokybei vertinti gali būti taikomi šie rodikliai: pajamų lygis iš IP adresų nuomos, išnuomotų IP adresų dalis, vidutinė kaina vienam IP adresui, ataskaitų pateikimo savalaikiškumas, incidentų skaičius ir jų suvaldymo terminai.</w:t>
      </w:r>
    </w:p>
    <w:p w14:paraId="33DCC2FB" w14:textId="77777777" w:rsidR="00F7619A" w:rsidRPr="009807C4" w:rsidRDefault="00F7619A" w:rsidP="001C3510">
      <w:pPr>
        <w:jc w:val="both"/>
        <w:rPr>
          <w:lang w:eastAsia="lt-LT"/>
        </w:rPr>
      </w:pPr>
      <w:r w:rsidRPr="009807C4">
        <w:t>Jeigu sutartyje nustatomi minimalūs veiklos rezultatai ar kiti paslaugų lygiai, jų nepasiekimas turi būti siejamas su sutartyje numatytomis teisinėmis pasekmėmis.</w:t>
      </w:r>
    </w:p>
    <w:p w14:paraId="7C6B7916" w14:textId="77777777" w:rsidR="00D95250" w:rsidRPr="009807C4" w:rsidRDefault="00D95250" w:rsidP="001C3510">
      <w:pPr>
        <w:jc w:val="both"/>
        <w:rPr>
          <w:lang w:eastAsia="lt-LT"/>
        </w:rPr>
      </w:pPr>
      <w:r w:rsidRPr="009807C4">
        <w:rPr>
          <w:b/>
          <w:bCs/>
        </w:rPr>
        <w:t>Pagrindiniai veiklos rodikliai (KPI):</w:t>
      </w:r>
    </w:p>
    <w:p w14:paraId="2E970F9A" w14:textId="77777777" w:rsidR="00D95250" w:rsidRPr="009807C4" w:rsidRDefault="00D95250" w:rsidP="001C3510">
      <w:pPr>
        <w:pStyle w:val="ListParagraph"/>
        <w:numPr>
          <w:ilvl w:val="0"/>
          <w:numId w:val="17"/>
        </w:numPr>
        <w:jc w:val="both"/>
        <w:rPr>
          <w:lang w:eastAsia="lt-LT"/>
        </w:rPr>
      </w:pPr>
      <w:r w:rsidRPr="009807C4">
        <w:t>Minimalios mėnesinės pajamos iš IP adresų nuomos turi būti ne mažesnės kaip 32 000 USD per mėnesį (neto, po taikomų mokesčių ir komisinių, jeigu sutartyje nenustatyta kitaip).</w:t>
      </w:r>
    </w:p>
    <w:p w14:paraId="743E5C96" w14:textId="77777777" w:rsidR="00D95250" w:rsidRPr="009807C4" w:rsidRDefault="00D95250" w:rsidP="001C3510">
      <w:pPr>
        <w:pStyle w:val="ListParagraph"/>
        <w:numPr>
          <w:ilvl w:val="0"/>
          <w:numId w:val="17"/>
        </w:numPr>
        <w:jc w:val="both"/>
      </w:pPr>
      <w:r w:rsidRPr="009807C4">
        <w:t>Išnuomotų IP adresų dalis turi sudaryti ne mažiau kaip 75 proc. visų tiekėjo valdomų ir nuomai pateiktų IP adresų, o siektinas rodiklis – ne mažiau kaip 80 proc.</w:t>
      </w:r>
    </w:p>
    <w:p w14:paraId="6BDAD0E6" w14:textId="77777777" w:rsidR="00F7619A" w:rsidRPr="009807C4" w:rsidRDefault="00F7619A" w:rsidP="001C3510">
      <w:pPr>
        <w:numPr>
          <w:ilvl w:val="0"/>
          <w:numId w:val="2"/>
        </w:numPr>
        <w:jc w:val="both"/>
        <w:rPr>
          <w:b/>
          <w:bCs/>
        </w:rPr>
      </w:pPr>
      <w:r w:rsidRPr="009807C4">
        <w:rPr>
          <w:b/>
        </w:rPr>
        <w:t>SUTARTIES VYKDYMO METU PATEIKIAMI DOKUMENTAI</w:t>
      </w:r>
    </w:p>
    <w:p w14:paraId="06496EB6" w14:textId="77777777" w:rsidR="00F7619A" w:rsidRPr="009807C4" w:rsidRDefault="00F7619A" w:rsidP="001C3510">
      <w:pPr>
        <w:jc w:val="both"/>
        <w:rPr>
          <w:lang w:eastAsia="lt-LT"/>
        </w:rPr>
      </w:pPr>
      <w:r w:rsidRPr="009807C4">
        <w:t>Sutarties vykdymo metu tiekėjas turi pateikti šiuos dokumentus ir duomenis:</w:t>
      </w:r>
    </w:p>
    <w:bookmarkEnd w:id="0"/>
    <w:p w14:paraId="3C71DEF9" w14:textId="77777777" w:rsidR="009807C4" w:rsidRDefault="009807C4" w:rsidP="001C3510">
      <w:pPr>
        <w:jc w:val="both"/>
        <w:rPr>
          <w:lang w:eastAsia="lt-LT"/>
        </w:rPr>
      </w:pPr>
      <w:r>
        <w:t>1) mėnesines veiklos ataskaitas; 2) informaciją apie išnuomotų IP adresų apimtį, išnuomotų IP adresų dalį, kainodarą ir pajamas; 3) informaciją apie nuomininkų skaičių ir portfelio pasiskirstymą; 4) informaciją apie į viešus blokavimo sąrašus įtrauktus IP adresus ir taikytus pašalinimo veiksmus; 5) incidentų ir piktnaudžiavimo prevencijos ataskaitas; 6) informaciją apie atliktus techninius veiksmus; 7) ketvirtinių veiklos peržiūrų medžiagą ir išvadas; 8) incidentų registravimo ir tyrimo dokumentus, įskaitant pirmines, tarpines ir galutines incidentų analizės ataskaitas; 9) kitus sutartyje nurodytus dokumentus, pagrindžiančius paslaugų teikimą ir rezultatų pasiekimą.</w:t>
      </w:r>
    </w:p>
    <w:p w14:paraId="34187C1F" w14:textId="77777777" w:rsidR="00D95250" w:rsidRPr="009807C4" w:rsidRDefault="00D95250" w:rsidP="001C3510">
      <w:pPr>
        <w:jc w:val="both"/>
        <w:rPr>
          <w:lang w:eastAsia="lt-LT"/>
        </w:rPr>
      </w:pPr>
      <w:r w:rsidRPr="009807C4">
        <w:t>Tiekėjas privalo užtikrinti nuolatinę IP adresų naudojimo stebėseną ir incidentų bei veiklos logų saugojimą ne trumpiau kaip 12 mėnesių nuo jų sukūrimo dienos, išskyrus atvejus, kai taikytini teisės aktai ar sutartis nustato ilgesnį saugojimo terminą.</w:t>
      </w:r>
    </w:p>
    <w:p w14:paraId="615DF759" w14:textId="77777777" w:rsidR="00F7619A" w:rsidRPr="009807C4" w:rsidRDefault="00F7619A" w:rsidP="001C3510">
      <w:pPr>
        <w:jc w:val="both"/>
        <w:rPr>
          <w:lang w:eastAsia="lt-LT"/>
        </w:rPr>
      </w:pPr>
      <w:r w:rsidRPr="009807C4">
        <w:t>Ataskaitos ir dokumentai turi būti pateikiami elektronine forma, lietuvių arba anglų kalba, jeigu sutartyje nenustatyta kitaip.</w:t>
      </w:r>
    </w:p>
    <w:p w14:paraId="2AB4E9CD" w14:textId="77777777" w:rsidR="009807C4" w:rsidRPr="009807C4" w:rsidRDefault="009807C4" w:rsidP="001C3510">
      <w:pPr>
        <w:pStyle w:val="ListParagraph"/>
        <w:numPr>
          <w:ilvl w:val="0"/>
          <w:numId w:val="2"/>
        </w:numPr>
        <w:jc w:val="both"/>
        <w:rPr>
          <w:lang w:eastAsia="lt-LT"/>
        </w:rPr>
      </w:pPr>
      <w:r w:rsidRPr="009807C4">
        <w:rPr>
          <w:b/>
          <w:bCs/>
          <w:i/>
          <w:iCs/>
        </w:rPr>
        <w:t>KITA</w:t>
      </w:r>
    </w:p>
    <w:p w14:paraId="61EAEDAF" w14:textId="77777777" w:rsidR="00A141A0" w:rsidRPr="009807C4" w:rsidRDefault="00A141A0" w:rsidP="001C3510">
      <w:pPr>
        <w:jc w:val="both"/>
        <w:rPr>
          <w:lang w:eastAsia="lt-LT"/>
        </w:rPr>
      </w:pPr>
      <w:r w:rsidRPr="009807C4">
        <w:t>Tiekėjas, teikdamas paslaugas, privalo laikytis taikomų teisės aktų, registrų taisyklių, sankcijų reikalavimų, asmens duomenų apsaugos, konfidencialumo ir kitų su IP adresų valdymu susijusių privalomų normų. Detalios atsakomybės, atsiskaitymo, nutraukimo ir kitos vykdymo sąlygos nustatomos sutartyje.</w:t>
      </w:r>
    </w:p>
    <w:sectPr w:rsidR="00A141A0" w:rsidRPr="009807C4">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FD267" w14:textId="77777777" w:rsidR="00887987" w:rsidRDefault="00887987" w:rsidP="00D95250">
      <w:pPr>
        <w:spacing w:after="0" w:line="240" w:lineRule="auto"/>
      </w:pPr>
      <w:r>
        <w:separator/>
      </w:r>
    </w:p>
  </w:endnote>
  <w:endnote w:type="continuationSeparator" w:id="0">
    <w:p w14:paraId="576E6629" w14:textId="77777777" w:rsidR="00887987" w:rsidRDefault="00887987" w:rsidP="00D95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294F2" w14:textId="77777777" w:rsidR="00887987" w:rsidRDefault="00887987" w:rsidP="00D95250">
      <w:pPr>
        <w:spacing w:after="0" w:line="240" w:lineRule="auto"/>
      </w:pPr>
      <w:r>
        <w:separator/>
      </w:r>
    </w:p>
  </w:footnote>
  <w:footnote w:type="continuationSeparator" w:id="0">
    <w:p w14:paraId="747AA534" w14:textId="77777777" w:rsidR="00887987" w:rsidRDefault="00887987" w:rsidP="00D95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F86EA" w14:textId="401BBDCB" w:rsidR="00D95250" w:rsidRDefault="00D95250">
    <w:pPr>
      <w:pStyle w:val="Header"/>
    </w:pPr>
    <w:r>
      <w:rPr>
        <w:noProof/>
      </w:rPr>
      <mc:AlternateContent>
        <mc:Choice Requires="wps">
          <w:drawing>
            <wp:anchor distT="0" distB="0" distL="0" distR="0" simplePos="0" relativeHeight="251659264" behindDoc="0" locked="0" layoutInCell="1" allowOverlap="1" wp14:anchorId="034CFE53" wp14:editId="4CA4EB0B">
              <wp:simplePos x="635" y="635"/>
              <wp:positionH relativeFrom="page">
                <wp:align>left</wp:align>
              </wp:positionH>
              <wp:positionV relativeFrom="page">
                <wp:align>top</wp:align>
              </wp:positionV>
              <wp:extent cx="2966720" cy="357505"/>
              <wp:effectExtent l="0" t="0" r="5080" b="4445"/>
              <wp:wrapNone/>
              <wp:docPr id="146984664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57505"/>
                      </a:xfrm>
                      <a:prstGeom prst="rect">
                        <a:avLst/>
                      </a:prstGeom>
                      <a:noFill/>
                      <a:ln>
                        <a:noFill/>
                      </a:ln>
                    </wps:spPr>
                    <wps:txbx>
                      <w:txbxContent>
                        <w:p w14:paraId="634EF61D" w14:textId="674494F1" w:rsidR="00D95250" w:rsidRPr="00D95250" w:rsidRDefault="00D95250" w:rsidP="00D95250">
                          <w:pPr>
                            <w:spacing w:after="0"/>
                            <w:rPr>
                              <w:rFonts w:ascii="Aptos" w:eastAsia="Aptos" w:hAnsi="Aptos" w:cs="Aptos"/>
                              <w:noProof/>
                              <w:color w:val="000000"/>
                              <w:sz w:val="20"/>
                              <w:szCs w:val="20"/>
                            </w:rPr>
                          </w:pPr>
                          <w:r w:rsidRPr="00D9525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34CFE5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3.6pt;height:28.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Qo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" filled="f" stroked="f">
              <v:textbox style="mso-fit-shape-to-text:t" inset="20pt,15pt,0,0">
                <w:txbxContent>
                  <w:p w14:paraId="634EF61D" w14:textId="674494F1" w:rsidR="00D95250" w:rsidRPr="00D95250" w:rsidRDefault="00D95250" w:rsidP="00D95250">
                    <w:pPr>
                      <w:spacing w:after="0"/>
                      <w:rPr>
                        <w:rFonts w:ascii="Aptos" w:eastAsia="Aptos" w:hAnsi="Aptos" w:cs="Aptos"/>
                        <w:noProof/>
                        <w:color w:val="000000"/>
                        <w:sz w:val="20"/>
                        <w:szCs w:val="20"/>
                      </w:rPr>
                    </w:pPr>
                    <w:r w:rsidRPr="00D9525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B73CF" w14:textId="597D5277" w:rsidR="00D95250" w:rsidRDefault="00D95250">
    <w:pPr>
      <w:pStyle w:val="Header"/>
    </w:pPr>
    <w:r>
      <w:rPr>
        <w:noProof/>
      </w:rPr>
      <mc:AlternateContent>
        <mc:Choice Requires="wps">
          <w:drawing>
            <wp:anchor distT="0" distB="0" distL="0" distR="0" simplePos="0" relativeHeight="251660288" behindDoc="0" locked="0" layoutInCell="1" allowOverlap="1" wp14:anchorId="37D18C8D" wp14:editId="71E75430">
              <wp:simplePos x="1076325" y="361950"/>
              <wp:positionH relativeFrom="page">
                <wp:align>left</wp:align>
              </wp:positionH>
              <wp:positionV relativeFrom="page">
                <wp:align>top</wp:align>
              </wp:positionV>
              <wp:extent cx="2966720" cy="357505"/>
              <wp:effectExtent l="0" t="0" r="5080" b="4445"/>
              <wp:wrapNone/>
              <wp:docPr id="80287956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57505"/>
                      </a:xfrm>
                      <a:prstGeom prst="rect">
                        <a:avLst/>
                      </a:prstGeom>
                      <a:noFill/>
                      <a:ln>
                        <a:noFill/>
                      </a:ln>
                    </wps:spPr>
                    <wps:txbx>
                      <w:txbxContent>
                        <w:p w14:paraId="0F321DC0" w14:textId="10AC0048" w:rsidR="00D95250" w:rsidRPr="00D95250" w:rsidRDefault="00D95250" w:rsidP="00D95250">
                          <w:pPr>
                            <w:spacing w:after="0"/>
                            <w:rPr>
                              <w:rFonts w:ascii="Aptos" w:eastAsia="Aptos" w:hAnsi="Aptos" w:cs="Aptos"/>
                              <w:noProof/>
                              <w:color w:val="000000"/>
                              <w:sz w:val="20"/>
                              <w:szCs w:val="20"/>
                            </w:rPr>
                          </w:pPr>
                          <w:r w:rsidRPr="00D9525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D18C8D"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3.6pt;height:28.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" filled="f" stroked="f">
              <v:textbox style="mso-fit-shape-to-text:t" inset="20pt,15pt,0,0">
                <w:txbxContent>
                  <w:p w14:paraId="0F321DC0" w14:textId="10AC0048" w:rsidR="00D95250" w:rsidRPr="00D95250" w:rsidRDefault="00D95250" w:rsidP="00D95250">
                    <w:pPr>
                      <w:spacing w:after="0"/>
                      <w:rPr>
                        <w:rFonts w:ascii="Aptos" w:eastAsia="Aptos" w:hAnsi="Aptos" w:cs="Aptos"/>
                        <w:noProof/>
                        <w:color w:val="000000"/>
                        <w:sz w:val="20"/>
                        <w:szCs w:val="20"/>
                      </w:rPr>
                    </w:pPr>
                    <w:r w:rsidRPr="00D9525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C7A76" w14:textId="7D6819EA" w:rsidR="00D95250" w:rsidRDefault="00D95250">
    <w:pPr>
      <w:pStyle w:val="Header"/>
    </w:pPr>
    <w:r>
      <w:rPr>
        <w:noProof/>
      </w:rPr>
      <mc:AlternateContent>
        <mc:Choice Requires="wps">
          <w:drawing>
            <wp:anchor distT="0" distB="0" distL="0" distR="0" simplePos="0" relativeHeight="251658240" behindDoc="0" locked="0" layoutInCell="1" allowOverlap="1" wp14:anchorId="1DB7252A" wp14:editId="2F29E731">
              <wp:simplePos x="635" y="635"/>
              <wp:positionH relativeFrom="page">
                <wp:align>left</wp:align>
              </wp:positionH>
              <wp:positionV relativeFrom="page">
                <wp:align>top</wp:align>
              </wp:positionV>
              <wp:extent cx="2966720" cy="357505"/>
              <wp:effectExtent l="0" t="0" r="5080" b="4445"/>
              <wp:wrapNone/>
              <wp:docPr id="200471722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57505"/>
                      </a:xfrm>
                      <a:prstGeom prst="rect">
                        <a:avLst/>
                      </a:prstGeom>
                      <a:noFill/>
                      <a:ln>
                        <a:noFill/>
                      </a:ln>
                    </wps:spPr>
                    <wps:txbx>
                      <w:txbxContent>
                        <w:p w14:paraId="473731B5" w14:textId="2B7AC3D2" w:rsidR="00D95250" w:rsidRPr="00D95250" w:rsidRDefault="00D95250" w:rsidP="00D95250">
                          <w:pPr>
                            <w:spacing w:after="0"/>
                            <w:rPr>
                              <w:rFonts w:ascii="Aptos" w:eastAsia="Aptos" w:hAnsi="Aptos" w:cs="Aptos"/>
                              <w:noProof/>
                              <w:color w:val="000000"/>
                              <w:sz w:val="20"/>
                              <w:szCs w:val="20"/>
                            </w:rPr>
                          </w:pPr>
                          <w:r w:rsidRPr="00D9525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B7252A"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3.6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MWEw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" filled="f" stroked="f">
              <v:textbox style="mso-fit-shape-to-text:t" inset="20pt,15pt,0,0">
                <w:txbxContent>
                  <w:p w14:paraId="473731B5" w14:textId="2B7AC3D2" w:rsidR="00D95250" w:rsidRPr="00D95250" w:rsidRDefault="00D95250" w:rsidP="00D95250">
                    <w:pPr>
                      <w:spacing w:after="0"/>
                      <w:rPr>
                        <w:rFonts w:ascii="Aptos" w:eastAsia="Aptos" w:hAnsi="Aptos" w:cs="Aptos"/>
                        <w:noProof/>
                        <w:color w:val="000000"/>
                        <w:sz w:val="20"/>
                        <w:szCs w:val="20"/>
                      </w:rPr>
                    </w:pPr>
                    <w:r w:rsidRPr="00D95250">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69E7"/>
    <w:multiLevelType w:val="multilevel"/>
    <w:tmpl w:val="04CC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937628"/>
    <w:multiLevelType w:val="multilevel"/>
    <w:tmpl w:val="41221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D774EE"/>
    <w:multiLevelType w:val="multilevel"/>
    <w:tmpl w:val="6436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6375CB"/>
    <w:multiLevelType w:val="hybridMultilevel"/>
    <w:tmpl w:val="7C0A2F8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4401F6"/>
    <w:multiLevelType w:val="multilevel"/>
    <w:tmpl w:val="E2D6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644067"/>
    <w:multiLevelType w:val="multilevel"/>
    <w:tmpl w:val="BE762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2D3086"/>
    <w:multiLevelType w:val="multilevel"/>
    <w:tmpl w:val="A07C2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BE1016"/>
    <w:multiLevelType w:val="multilevel"/>
    <w:tmpl w:val="9BD6C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D0690"/>
    <w:multiLevelType w:val="multilevel"/>
    <w:tmpl w:val="E2C6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BD0B90"/>
    <w:multiLevelType w:val="multilevel"/>
    <w:tmpl w:val="A65CC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3707D8"/>
    <w:multiLevelType w:val="multilevel"/>
    <w:tmpl w:val="3598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1B23DB"/>
    <w:multiLevelType w:val="multilevel"/>
    <w:tmpl w:val="6E6CA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C10F49"/>
    <w:multiLevelType w:val="multilevel"/>
    <w:tmpl w:val="2004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46690B"/>
    <w:multiLevelType w:val="multilevel"/>
    <w:tmpl w:val="1BBC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023AFE"/>
    <w:multiLevelType w:val="multilevel"/>
    <w:tmpl w:val="C8AAA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1F5862"/>
    <w:multiLevelType w:val="hybridMultilevel"/>
    <w:tmpl w:val="050014C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2A40AB"/>
    <w:multiLevelType w:val="hybridMultilevel"/>
    <w:tmpl w:val="30768BF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9C65C5"/>
    <w:multiLevelType w:val="multilevel"/>
    <w:tmpl w:val="24846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575CF2"/>
    <w:multiLevelType w:val="multilevel"/>
    <w:tmpl w:val="F6A0F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F649FE"/>
    <w:multiLevelType w:val="multilevel"/>
    <w:tmpl w:val="B976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0026E4"/>
    <w:multiLevelType w:val="hybridMultilevel"/>
    <w:tmpl w:val="777C5D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B1B0BD8"/>
    <w:multiLevelType w:val="multilevel"/>
    <w:tmpl w:val="254A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141477">
    <w:abstractNumId w:val="3"/>
  </w:num>
  <w:num w:numId="2" w16cid:durableId="19649231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9077172">
    <w:abstractNumId w:val="16"/>
  </w:num>
  <w:num w:numId="4" w16cid:durableId="1973319970">
    <w:abstractNumId w:val="15"/>
  </w:num>
  <w:num w:numId="5" w16cid:durableId="455375424">
    <w:abstractNumId w:val="8"/>
  </w:num>
  <w:num w:numId="6" w16cid:durableId="1753354735">
    <w:abstractNumId w:val="14"/>
  </w:num>
  <w:num w:numId="7" w16cid:durableId="1982996040">
    <w:abstractNumId w:val="21"/>
  </w:num>
  <w:num w:numId="8" w16cid:durableId="76486233">
    <w:abstractNumId w:val="6"/>
  </w:num>
  <w:num w:numId="9" w16cid:durableId="1966034416">
    <w:abstractNumId w:val="17"/>
  </w:num>
  <w:num w:numId="10" w16cid:durableId="127862865">
    <w:abstractNumId w:val="0"/>
  </w:num>
  <w:num w:numId="11" w16cid:durableId="1528056581">
    <w:abstractNumId w:val="18"/>
  </w:num>
  <w:num w:numId="12" w16cid:durableId="639967448">
    <w:abstractNumId w:val="5"/>
  </w:num>
  <w:num w:numId="13" w16cid:durableId="1975482673">
    <w:abstractNumId w:val="12"/>
  </w:num>
  <w:num w:numId="14" w16cid:durableId="1569340682">
    <w:abstractNumId w:val="7"/>
  </w:num>
  <w:num w:numId="15" w16cid:durableId="984971825">
    <w:abstractNumId w:val="2"/>
  </w:num>
  <w:num w:numId="16" w16cid:durableId="293297952">
    <w:abstractNumId w:val="11"/>
  </w:num>
  <w:num w:numId="17" w16cid:durableId="1532035595">
    <w:abstractNumId w:val="1"/>
  </w:num>
  <w:num w:numId="18" w16cid:durableId="2057272448">
    <w:abstractNumId w:val="10"/>
  </w:num>
  <w:num w:numId="19" w16cid:durableId="740057459">
    <w:abstractNumId w:val="19"/>
  </w:num>
  <w:num w:numId="20" w16cid:durableId="2051413821">
    <w:abstractNumId w:val="4"/>
  </w:num>
  <w:num w:numId="21" w16cid:durableId="1218393969">
    <w:abstractNumId w:val="13"/>
  </w:num>
  <w:num w:numId="22" w16cid:durableId="10539706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19A"/>
    <w:rsid w:val="00000434"/>
    <w:rsid w:val="00063062"/>
    <w:rsid w:val="001C3510"/>
    <w:rsid w:val="0064210D"/>
    <w:rsid w:val="00887987"/>
    <w:rsid w:val="008A1387"/>
    <w:rsid w:val="00937CA7"/>
    <w:rsid w:val="009807C4"/>
    <w:rsid w:val="00A141A0"/>
    <w:rsid w:val="00A2294B"/>
    <w:rsid w:val="00A56CA1"/>
    <w:rsid w:val="00AC26A5"/>
    <w:rsid w:val="00B2726F"/>
    <w:rsid w:val="00B81B64"/>
    <w:rsid w:val="00BE4CA0"/>
    <w:rsid w:val="00D95250"/>
    <w:rsid w:val="00EE4AE9"/>
    <w:rsid w:val="00F7619A"/>
    <w:rsid w:val="00F82B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EC4C3"/>
  <w15:chartTrackingRefBased/>
  <w15:docId w15:val="{112E6F95-2816-4493-81AD-3DBE8BD7A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61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61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61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61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61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61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1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1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1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61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61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61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61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61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61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1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1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19A"/>
    <w:rPr>
      <w:rFonts w:eastAsiaTheme="majorEastAsia" w:cstheme="majorBidi"/>
      <w:color w:val="272727" w:themeColor="text1" w:themeTint="D8"/>
    </w:rPr>
  </w:style>
  <w:style w:type="paragraph" w:styleId="Title">
    <w:name w:val="Title"/>
    <w:basedOn w:val="Normal"/>
    <w:next w:val="Normal"/>
    <w:link w:val="TitleChar"/>
    <w:uiPriority w:val="10"/>
    <w:qFormat/>
    <w:rsid w:val="00F761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1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1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1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19A"/>
    <w:pPr>
      <w:spacing w:before="160"/>
      <w:jc w:val="center"/>
    </w:pPr>
    <w:rPr>
      <w:i/>
      <w:iCs/>
      <w:color w:val="404040" w:themeColor="text1" w:themeTint="BF"/>
    </w:rPr>
  </w:style>
  <w:style w:type="character" w:customStyle="1" w:styleId="QuoteChar">
    <w:name w:val="Quote Char"/>
    <w:basedOn w:val="DefaultParagraphFont"/>
    <w:link w:val="Quote"/>
    <w:uiPriority w:val="29"/>
    <w:rsid w:val="00F7619A"/>
    <w:rPr>
      <w:i/>
      <w:iCs/>
      <w:color w:val="404040" w:themeColor="text1" w:themeTint="BF"/>
    </w:rPr>
  </w:style>
  <w:style w:type="paragraph" w:styleId="ListParagraph">
    <w:name w:val="List Paragraph"/>
    <w:basedOn w:val="Normal"/>
    <w:uiPriority w:val="34"/>
    <w:qFormat/>
    <w:rsid w:val="00F7619A"/>
    <w:pPr>
      <w:ind w:left="720"/>
      <w:contextualSpacing/>
    </w:pPr>
  </w:style>
  <w:style w:type="character" w:styleId="IntenseEmphasis">
    <w:name w:val="Intense Emphasis"/>
    <w:basedOn w:val="DefaultParagraphFont"/>
    <w:uiPriority w:val="21"/>
    <w:qFormat/>
    <w:rsid w:val="00F7619A"/>
    <w:rPr>
      <w:i/>
      <w:iCs/>
      <w:color w:val="0F4761" w:themeColor="accent1" w:themeShade="BF"/>
    </w:rPr>
  </w:style>
  <w:style w:type="paragraph" w:styleId="IntenseQuote">
    <w:name w:val="Intense Quote"/>
    <w:basedOn w:val="Normal"/>
    <w:next w:val="Normal"/>
    <w:link w:val="IntenseQuoteChar"/>
    <w:uiPriority w:val="30"/>
    <w:qFormat/>
    <w:rsid w:val="00F761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619A"/>
    <w:rPr>
      <w:i/>
      <w:iCs/>
      <w:color w:val="0F4761" w:themeColor="accent1" w:themeShade="BF"/>
    </w:rPr>
  </w:style>
  <w:style w:type="character" w:styleId="IntenseReference">
    <w:name w:val="Intense Reference"/>
    <w:basedOn w:val="DefaultParagraphFont"/>
    <w:uiPriority w:val="32"/>
    <w:qFormat/>
    <w:rsid w:val="00F7619A"/>
    <w:rPr>
      <w:b/>
      <w:bCs/>
      <w:smallCaps/>
      <w:color w:val="0F4761" w:themeColor="accent1" w:themeShade="BF"/>
      <w:spacing w:val="5"/>
    </w:rPr>
  </w:style>
  <w:style w:type="paragraph" w:styleId="Header">
    <w:name w:val="header"/>
    <w:basedOn w:val="Normal"/>
    <w:link w:val="HeaderChar"/>
    <w:uiPriority w:val="99"/>
    <w:unhideWhenUsed/>
    <w:rsid w:val="00D952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D95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1729</Words>
  <Characters>9859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Grušnienė</dc:creator>
  <cp:keywords/>
  <dc:description/>
  <cp:lastModifiedBy>Eglė Alijeva</cp:lastModifiedBy>
  <cp:revision>3</cp:revision>
  <dcterms:created xsi:type="dcterms:W3CDTF">2026-06-01T07:58:00Z</dcterms:created>
  <dcterms:modified xsi:type="dcterms:W3CDTF">2026-06-11T12:11:00Z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777d8ea9,579c1479,2fdaf849</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2026-05-28T09:44:01Z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5d609027-2d79-48a4-b9cb-efbd753e81b1</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